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67FAA3F8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7663444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3ED3F8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5A56C741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26F39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5C9032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14B6EA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6BA064D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9082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74FE9F1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157148F3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083C50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7E9EC7A3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6729B02F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58E6E5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7965CDF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C5DC05C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A964E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491102B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60D13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1AD0685F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40CF8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7CD390BA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519BAD30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FDB49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7E9C58FB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0E90BD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2C8F7BDB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642941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004DA73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F40DA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6DB798D3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376EC83F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12B6BAF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3D4525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6E56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9FC78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610B84E7" w14:textId="77777777" w:rsidTr="009B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309584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AA5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68A193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2338" w:rsidRPr="00175B81" w14:paraId="77BA8660" w14:textId="77777777" w:rsidTr="009B2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92746B" w14:textId="77777777" w:rsidR="009B2338" w:rsidRPr="00175B81" w:rsidRDefault="009B2338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0FD9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31F616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B2338" w:rsidRPr="00175B81" w14:paraId="2F17ED67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DCA515" w14:textId="77777777" w:rsidR="009B2338" w:rsidRPr="00175B81" w:rsidRDefault="009B2338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B5C9E2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F0E9FDE" w14:textId="77777777" w:rsidR="009B2338" w:rsidRPr="00175B81" w:rsidRDefault="009B23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1F67F8B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6389554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3887A102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175B81" w14:paraId="62ECFFE9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C59BEC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A.</w:t>
            </w:r>
          </w:p>
          <w:p w14:paraId="4EFB6F7F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1EF12EE9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a junio</w:t>
            </w:r>
            <w:r w:rsidR="00F00855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5A156F8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500 horas lectivas.</w:t>
            </w:r>
          </w:p>
        </w:tc>
        <w:tc>
          <w:tcPr>
            <w:tcW w:w="5621" w:type="dxa"/>
          </w:tcPr>
          <w:p w14:paraId="39923605" w14:textId="77777777" w:rsidR="00502ED0" w:rsidRPr="00502ED0" w:rsidRDefault="004A06CE" w:rsidP="00995D88">
            <w:pPr>
              <w:numPr>
                <w:ilvl w:val="0"/>
                <w:numId w:val="8"/>
              </w:numPr>
              <w:ind w:left="51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Realización de</w:t>
            </w:r>
            <w:r w:rsidR="00995D88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una tesina, a entregar </w:t>
            </w:r>
            <w:r w:rsidR="001C7DB5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como máximo el </w:t>
            </w:r>
            <w:r w:rsidR="00502ED0" w:rsidRPr="00502ED0">
              <w:rPr>
                <w:rFonts w:asciiTheme="minorHAnsi" w:hAnsiTheme="minorHAnsi" w:cstheme="minorHAnsi"/>
                <w:sz w:val="16"/>
                <w:szCs w:val="16"/>
              </w:rPr>
              <w:t>29 de octubre de 2021</w:t>
            </w:r>
            <w:r w:rsidR="00502ED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92F340F" w14:textId="77777777" w:rsidR="00995D88" w:rsidRPr="00AC755D" w:rsidRDefault="00995D88" w:rsidP="00995D88">
            <w:pPr>
              <w:numPr>
                <w:ilvl w:val="0"/>
                <w:numId w:val="8"/>
              </w:numPr>
              <w:ind w:left="51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Temario: Manual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es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 Edición 20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39226D07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7458FB" w:rsidRPr="008A5008" w14:paraId="1A1CF525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78BD8825" w14:textId="77777777" w:rsidR="007458FB" w:rsidRPr="008A5008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5008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14:paraId="345293C5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63F5501A" w14:textId="77777777" w:rsidR="007458FB" w:rsidRPr="00175B81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3D5AF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3D5AF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3D5AFC">
              <w:rPr>
                <w:rFonts w:asciiTheme="minorHAnsi" w:hAnsiTheme="minorHAnsi" w:cstheme="minorHAnsi"/>
                <w:sz w:val="16"/>
                <w:szCs w:val="16"/>
              </w:rPr>
              <w:t xml:space="preserve"> compulsada.</w:t>
            </w:r>
          </w:p>
          <w:p w14:paraId="550ED01C" w14:textId="77777777" w:rsidR="008B1D0D" w:rsidRPr="003D5AF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5EFBBEFC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8A5008" w:rsidRPr="00175B81" w14:paraId="355B295B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7ADAC241" w14:textId="77777777" w:rsidR="008A5008" w:rsidRPr="00175B81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8A5008" w:rsidRPr="00AC755D" w14:paraId="39035B4A" w14:textId="77777777" w:rsidTr="00D40631">
        <w:trPr>
          <w:cantSplit/>
          <w:trHeight w:val="983"/>
          <w:jc w:val="center"/>
        </w:trPr>
        <w:tc>
          <w:tcPr>
            <w:tcW w:w="11242" w:type="dxa"/>
          </w:tcPr>
          <w:p w14:paraId="054E57B6" w14:textId="77777777" w:rsidR="008A5008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Exámenes parciales trimestrales, con la materia impartida en ese periodo.</w:t>
            </w:r>
          </w:p>
          <w:p w14:paraId="298797D1" w14:textId="77777777" w:rsidR="008E09E2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Examen de recuperación en el mes de julio, para aquellos alumnos que no hayan 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algún trimestre. Un examen por cada trimestre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1D7F754" w14:textId="77777777" w:rsidR="008A5008" w:rsidRPr="00AC755D" w:rsidRDefault="008A5008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Examen de recuperación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global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en septiembre para aquellos alumnos que no hayan aprobado toda la materia en las convocatorias anteriores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>n solo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E09E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examen con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toda la materia del Curso, la aprobada y la no aprobada.</w:t>
            </w:r>
          </w:p>
          <w:p w14:paraId="65383984" w14:textId="77777777" w:rsidR="007136FD" w:rsidRPr="00AC755D" w:rsidRDefault="007136FD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Los alumnos 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con </w:t>
            </w:r>
            <w:r w:rsidR="00AC755D" w:rsidRPr="00AC755D">
              <w:rPr>
                <w:rFonts w:asciiTheme="minorHAnsi" w:hAnsiTheme="minorHAnsi" w:cstheme="minorHAnsi"/>
                <w:sz w:val="16"/>
                <w:szCs w:val="16"/>
              </w:rPr>
              <w:t>las convalidaciones de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Varios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Ciencias Actuariales </w:t>
            </w:r>
            <w:r w:rsidR="00D32ED9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  <w:r w:rsidR="00D57B52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Financieras</w:t>
            </w:r>
            <w:r w:rsidR="00AC755D" w:rsidRPr="00AC755D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tendrán un solo examen en junio y una </w:t>
            </w:r>
            <w:r w:rsidR="00D57B52" w:rsidRPr="00AC755D">
              <w:rPr>
                <w:rFonts w:asciiTheme="minorHAnsi" w:hAnsiTheme="minorHAnsi" w:cstheme="minorHAnsi"/>
                <w:sz w:val="16"/>
                <w:szCs w:val="16"/>
              </w:rPr>
              <w:t xml:space="preserve">sola </w:t>
            </w:r>
            <w:r w:rsidRPr="00AC755D">
              <w:rPr>
                <w:rFonts w:asciiTheme="minorHAnsi" w:hAnsiTheme="minorHAnsi" w:cstheme="minorHAnsi"/>
                <w:sz w:val="16"/>
                <w:szCs w:val="16"/>
              </w:rPr>
              <w:t>recuperación en julio.</w:t>
            </w:r>
          </w:p>
        </w:tc>
      </w:tr>
    </w:tbl>
    <w:p w14:paraId="50D1F3A8" w14:textId="77777777" w:rsidR="008A5008" w:rsidRPr="00AC755D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8A5008" w:rsidRPr="00175B81" w14:paraId="624051BB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217D62B4" w14:textId="77777777" w:rsidR="008A5008" w:rsidRPr="00175B81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34043C" w14:paraId="345401EF" w14:textId="77777777" w:rsidTr="00A828E9">
        <w:trPr>
          <w:trHeight w:val="962"/>
          <w:jc w:val="center"/>
        </w:trPr>
        <w:tc>
          <w:tcPr>
            <w:tcW w:w="11242" w:type="dxa"/>
          </w:tcPr>
          <w:p w14:paraId="588C5191" w14:textId="77777777" w:rsidR="00112C6C" w:rsidRPr="00D32ED9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E645C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1A221154" w14:textId="77777777" w:rsidR="00112C6C" w:rsidRPr="00E645C0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>El alumno debe presentarse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trimestralmente, 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al 80% de las clases presenciales a las que, por su convalidación, deba asistir. Si el alumno no alcanza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dicho porcentaje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 xml:space="preserve">, la calificación del trimestre será “No apto por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E645C0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7FF7B57" w14:textId="77777777" w:rsidR="00112C6C" w:rsidRPr="000C454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 considerarán faltas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de asistencias admisibles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 derivadas de enfermedad o accidente propios, los de un familiar</w:t>
            </w:r>
            <w:r w:rsidRPr="00E645C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de hasta el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2º grado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de consanguinidad o afinidad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por</w:t>
            </w:r>
            <w:r w:rsidRPr="00EC78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causa mayor, siempre debidamente justificadas. No serán faltas </w:t>
            </w:r>
            <w:r w:rsidR="003D5AF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etc. </w:t>
            </w:r>
          </w:p>
          <w:p w14:paraId="0F2B7873" w14:textId="77777777" w:rsidR="00112C6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B87DF7" w14:textId="77777777" w:rsidR="00112C6C" w:rsidRPr="00967AF0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E645C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6DC52A52" w14:textId="77777777" w:rsidR="00D64013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Alumnos con convalidaciones: El alumno tiene que realizar</w:t>
            </w:r>
            <w:r w:rsidR="00D6401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cada trimestre, al menos, el 80%</w:t>
            </w:r>
            <w:r w:rsidR="00D64013">
              <w:rPr>
                <w:rFonts w:asciiTheme="minorHAnsi" w:hAnsiTheme="minorHAnsi" w:cstheme="minorHAnsi"/>
                <w:sz w:val="16"/>
                <w:szCs w:val="16"/>
              </w:rPr>
              <w:t xml:space="preserve"> del conjunto de los ejercicios y test de la plataforma de las materias</w:t>
            </w:r>
            <w:r w:rsidR="00502ED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El alumno tiene que realizar 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cada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, al menos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el 80% del conjunto de los ejercicios y test de la plataforma de las materias correspondientes a su convalidación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de ese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3FF57178" w14:textId="77777777" w:rsidR="00112C6C" w:rsidRPr="00BA463A" w:rsidRDefault="00D64013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Alumnos sin convalidaciones: 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Si el alumno no tiene convalidaciones, tendrá que realizar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cada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, al menos, el 80% del conjunto de todos los ejercicios y test de la plataforma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de ese trimestre</w:t>
            </w:r>
            <w:r w:rsidR="00112C6C" w:rsidRPr="00BA463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0ECECD" w14:textId="77777777"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41206FE1" w14:textId="77777777"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Se descontarán del porcentaje las respuestas que, claramente, tengan un contenido no válido como puntos, comas o respuestas simples de una palabra y que se haya cumplimentado con intención de engañar a la plataforma. </w:t>
            </w:r>
          </w:p>
          <w:p w14:paraId="1470E9AD" w14:textId="77777777" w:rsidR="00112C6C" w:rsidRPr="00BA463A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entregado el 80% del conjunto de los 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</w:t>
            </w:r>
            <w:r w:rsidR="00925EDC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en el trimestre</w:t>
            </w: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>, será calificado como “No apto por plataforma”, independientemente de la nota obtenida en ese trimestre.</w:t>
            </w:r>
          </w:p>
          <w:p w14:paraId="4AC14AA5" w14:textId="77777777" w:rsidR="00BC6481" w:rsidRPr="00BA463A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 ya que sólo se pide un 80% del total.</w:t>
            </w:r>
          </w:p>
          <w:p w14:paraId="745969A4" w14:textId="77777777" w:rsidR="00EC28A1" w:rsidRPr="00BA463A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A463A">
              <w:rPr>
                <w:rFonts w:asciiTheme="minorHAnsi" w:hAnsiTheme="minorHAnsi" w:cstheme="minorHAnsi"/>
                <w:sz w:val="16"/>
                <w:szCs w:val="16"/>
              </w:rPr>
              <w:t>Los</w:t>
            </w:r>
            <w:r w:rsidR="00E04BEF" w:rsidRPr="00BA463A">
              <w:rPr>
                <w:rFonts w:asciiTheme="minorHAnsi" w:hAnsiTheme="minorHAnsi" w:cstheme="minorHAnsi"/>
                <w:sz w:val="16"/>
                <w:szCs w:val="16"/>
              </w:rPr>
              <w:t xml:space="preserve"> alumnos </w:t>
            </w:r>
            <w:r w:rsidR="00E04BEF" w:rsidRP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con convalidación “Varios” o “Ciencias Actuariales y financieras”, con un solo examen en junio y una recuperación en julio, deberán realizar igualmente el mismo porcentaje cada trimestre.</w:t>
            </w:r>
          </w:p>
          <w:p w14:paraId="2536A048" w14:textId="77777777" w:rsidR="00112C6C" w:rsidRPr="00BA463A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AFAC9E" w14:textId="77777777" w:rsidR="00112C6C" w:rsidRPr="00E20F52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F52">
              <w:rPr>
                <w:rFonts w:asciiTheme="minorHAnsi" w:hAnsiTheme="minorHAnsi" w:cstheme="minorHAnsi"/>
                <w:b/>
                <w:sz w:val="16"/>
                <w:szCs w:val="16"/>
              </w:rPr>
              <w:t>RECUPERACIONES JULIO Y SEPTIEMBRE:</w:t>
            </w:r>
          </w:p>
          <w:p w14:paraId="5D7E07A8" w14:textId="77777777" w:rsidR="00112C6C" w:rsidRPr="00E20F52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plataforma</w:t>
            </w: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 xml:space="preserve">” en algún examen trimestral, para poder ser “Apto” en los exámenes de recuperación de julio y/o septiembre, necesitará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realizar los ejercicios y test que le falte, </w:t>
            </w:r>
            <w:r w:rsidRPr="00DA1404">
              <w:rPr>
                <w:rFonts w:asciiTheme="minorHAnsi" w:hAnsiTheme="minorHAnsi" w:cstheme="minorHAnsi"/>
                <w:sz w:val="16"/>
                <w:szCs w:val="16"/>
              </w:rPr>
              <w:t xml:space="preserve">para lo cual,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 abrirá la plataforma a partir de la publicación de las notas del 3º trimestre, y hasta </w:t>
            </w:r>
            <w:r w:rsidR="00C52610"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>día</w:t>
            </w:r>
            <w:r w:rsidR="00C5261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52610"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DA14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 de julio</w:t>
            </w:r>
            <w:r w:rsidRPr="00DA1404">
              <w:rPr>
                <w:rFonts w:asciiTheme="minorHAnsi" w:hAnsiTheme="minorHAnsi" w:cstheme="minorHAnsi"/>
                <w:sz w:val="16"/>
                <w:szCs w:val="16"/>
              </w:rPr>
              <w:t>, salvo que la Comisión de Valoración decida otra cosa. Después de este momento, los ejercicios y test de la plataforma ya no serán accesibles para el alumno en ningún otro momento.</w:t>
            </w:r>
          </w:p>
          <w:p w14:paraId="46F8A534" w14:textId="77777777" w:rsidR="00EC28A1" w:rsidRPr="00EC28A1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967AF0">
              <w:rPr>
                <w:rFonts w:asciiTheme="minorHAnsi" w:hAnsiTheme="minorHAnsi" w:cstheme="minorHAnsi"/>
                <w:sz w:val="16"/>
                <w:szCs w:val="16"/>
              </w:rPr>
              <w:t>en algún examen trimestral, para poder ser “Apto” en los exámenes de recuperación de julio y/o septiembre, necesitará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tener una asistencia anual superior al 80%; de lo contrario, su calificación en ambos exámenes de recuperación será “No apto por </w:t>
            </w:r>
            <w:r w:rsidR="00BB00CD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4BE68851" w14:textId="77777777" w:rsidR="00112C6C" w:rsidRPr="00F43992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6086FC1" w14:textId="77777777" w:rsidR="00112C6C" w:rsidRPr="00D32ED9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6CB42144" w14:textId="77777777" w:rsidR="00A06D87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556D2BF5" w14:textId="77777777" w:rsidR="00112C6C" w:rsidRPr="00CB40D2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CB40D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 exámenes parciales o, en su caso, los de recuperación. Por tanto, debe cumplir con la asistencia indicada y la cumplimentación de la plataforma.</w:t>
            </w:r>
          </w:p>
          <w:p w14:paraId="583C3264" w14:textId="77777777" w:rsidR="00E04BEF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Entregar y aprobar la Tesina.</w:t>
            </w:r>
          </w:p>
          <w:p w14:paraId="1865FEBF" w14:textId="77777777" w:rsidR="00112C6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apartado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 de pago</w:t>
            </w:r>
            <w:r w:rsidR="007E5EC6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E04BE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1BEAA5C1" w14:textId="77777777" w:rsidR="00E04BEF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3E591B7" w14:textId="77777777" w:rsidR="00E04BEF" w:rsidRPr="00D32ED9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13E096" w14:textId="49C20FA7" w:rsidR="00E04BEF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34DF6065" w14:textId="77777777" w:rsidR="009B2338" w:rsidRDefault="009B2338" w:rsidP="009B2338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A9BC2CB" w14:textId="77777777" w:rsidR="00BA463A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48CB998" w14:textId="77777777" w:rsidR="00BA463A" w:rsidRPr="00D32ED9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TRASPASO DE EXPEDIENTE</w:t>
            </w:r>
            <w:r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25B8B983" w14:textId="77777777" w:rsidR="00E04BEF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expediente.</w:t>
            </w:r>
          </w:p>
          <w:p w14:paraId="3AB1A065" w14:textId="77777777" w:rsidR="00BA463A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decidirá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sobre su concesión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y </w:t>
            </w:r>
            <w:r w:rsidR="00A828E9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las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condiciones.</w:t>
            </w:r>
          </w:p>
          <w:p w14:paraId="4B63194F" w14:textId="77777777" w:rsidR="00B37EB5" w:rsidRDefault="000E500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>
              <w:rPr>
                <w:rFonts w:asciiTheme="minorHAnsi" w:hAnsiTheme="minorHAnsi" w:cstheme="minorHAnsi"/>
                <w:b/>
                <w:sz w:val="16"/>
                <w:szCs w:val="16"/>
              </w:rPr>
              <w:t>DEL ALUMNO</w:t>
            </w:r>
            <w:r w:rsidR="00B37EB5" w:rsidRPr="00D32ED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2845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3CEC4A4" w14:textId="77777777" w:rsidR="00B37EB5" w:rsidRPr="00BB00CD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</w:t>
            </w:r>
            <w:r w:rsidR="00284571" w:rsidRPr="00BB00CD">
              <w:rPr>
                <w:rFonts w:asciiTheme="minorHAnsi" w:hAnsiTheme="minorHAnsi" w:cstheme="minorHAnsi"/>
                <w:sz w:val="16"/>
                <w:szCs w:val="16"/>
              </w:rPr>
              <w:t>duración del curso</w:t>
            </w: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1E5A925C" w14:textId="77777777" w:rsidR="00632CFA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00CD">
              <w:rPr>
                <w:rFonts w:asciiTheme="minorHAnsi" w:hAnsiTheme="minorHAnsi" w:cstheme="minorHAnsi"/>
                <w:sz w:val="16"/>
                <w:szCs w:val="16"/>
              </w:rPr>
              <w:t xml:space="preserve">El beneficiario 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>de la devolución</w:t>
            </w:r>
            <w:r w:rsidR="00CB40D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</w:t>
            </w:r>
            <w:r w:rsidR="00632CF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13AD918A" w14:textId="77777777" w:rsidR="00A828E9" w:rsidRPr="00C1011C" w:rsidRDefault="00B37EB5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Si el </w:t>
            </w:r>
            <w:r w:rsidR="00A06D87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se estará a lo dispuesto en la </w:t>
            </w:r>
            <w:r w:rsidR="00BB00CD">
              <w:rPr>
                <w:rFonts w:asciiTheme="minorHAnsi" w:hAnsiTheme="minorHAnsi" w:cstheme="minorHAnsi"/>
                <w:sz w:val="16"/>
                <w:szCs w:val="16"/>
              </w:rPr>
              <w:t>normativa aplicable</w:t>
            </w:r>
            <w:r w:rsidRPr="00632CF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04B524DE" w14:textId="77777777" w:rsidR="00746C8C" w:rsidRPr="00A06D87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5DB0AE3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0F3D70DF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896CF4" w:rsidRPr="00175B81" w14:paraId="3860AAA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431FDCA6" w14:textId="77777777" w:rsidR="00896CF4" w:rsidRPr="00175B81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CONVALIDACIONES</w:t>
            </w:r>
          </w:p>
        </w:tc>
      </w:tr>
      <w:tr w:rsidR="00896CF4" w:rsidRPr="008A5008" w14:paraId="643F2E90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F235A" w14:textId="77777777" w:rsidR="00896CF4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7B7C225C" w14:textId="77777777" w:rsidR="00896CF4" w:rsidRPr="008A5008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677F4A">
              <w:rPr>
                <w:rFonts w:asciiTheme="minorHAnsi" w:hAnsiTheme="minorHAnsi" w:cstheme="minorHAnsi"/>
              </w:rPr>
              <w:cr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6CADAF4" wp14:editId="6F3E95CF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77F4A">
              <w:rPr>
                <w:rFonts w:asciiTheme="minorHAnsi" w:hAnsiTheme="minorHAnsi" w:cstheme="minorHAnsi"/>
              </w:rPr>
              <w:t xml:space="preserve"> </w:t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Pr="005D2FD4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el alumno dispone hasta el </w:t>
            </w:r>
            <w:r w:rsidR="00502ED0" w:rsidRPr="00502ED0">
              <w:rPr>
                <w:rFonts w:asciiTheme="minorHAnsi" w:hAnsiTheme="minorHAnsi" w:cstheme="minorHAnsi"/>
                <w:i/>
                <w:sz w:val="14"/>
                <w:szCs w:val="14"/>
              </w:rPr>
              <w:t>30 de octubre de 2020</w:t>
            </w:r>
            <w:r w:rsidR="00502ED0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5D2FD4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)</w:t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c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4F0617DD" wp14:editId="37CE6841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7F4A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677F4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6EA2FFD" w14:textId="77777777"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13FE968" w14:textId="77777777"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746C8C" w:rsidRPr="00175B81" w14:paraId="6E3CE865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4BEA1538" w14:textId="77777777" w:rsidR="00746C8C" w:rsidRPr="00175B81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8A5008" w14:paraId="4924B854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C6FD7" w14:textId="53F186C8" w:rsidR="00746C8C" w:rsidRDefault="00235868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 importe del curso será abonado antes del inicio </w:t>
            </w:r>
            <w:r w:rsidR="00715F05">
              <w:rPr>
                <w:rFonts w:asciiTheme="minorHAnsi" w:hAnsiTheme="minorHAnsi" w:cstheme="minorHAnsi"/>
                <w:sz w:val="18"/>
                <w:szCs w:val="18"/>
              </w:rPr>
              <w:t>de este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F4B5C67" w14:textId="5F291242" w:rsidR="00590DD3" w:rsidRPr="00902E12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caso de impago, el alumno será </w:t>
            </w:r>
            <w:r w:rsidR="00346B2E">
              <w:rPr>
                <w:rFonts w:asciiTheme="minorHAnsi" w:hAnsiTheme="minorHAnsi" w:cstheme="minorHAnsi"/>
                <w:b/>
                <w:sz w:val="18"/>
                <w:szCs w:val="18"/>
              </w:rPr>
              <w:t>dado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baja del curso, perdiendo todos los derechos.</w:t>
            </w:r>
          </w:p>
        </w:tc>
      </w:tr>
    </w:tbl>
    <w:p w14:paraId="20C05159" w14:textId="77777777" w:rsidR="00284571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284571" w:rsidRPr="00175B81" w14:paraId="761F2E33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0CFD8D37" w14:textId="77777777" w:rsidR="00284571" w:rsidRPr="00175B81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8A5008" w14:paraId="66651BAA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C3E9B" w14:textId="4394096E" w:rsidR="00235868" w:rsidRPr="00235868" w:rsidRDefault="00235868" w:rsidP="00235868">
            <w:pPr>
              <w:pStyle w:val="Textoindependiente2"/>
              <w:tabs>
                <w:tab w:val="left" w:pos="567"/>
                <w:tab w:val="left" w:pos="709"/>
              </w:tabs>
              <w:spacing w:before="67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5868">
              <w:rPr>
                <w:rFonts w:asciiTheme="minorHAnsi" w:hAnsiTheme="minorHAnsi" w:cstheme="minorHAnsi"/>
                <w:b w:val="0"/>
                <w:sz w:val="18"/>
                <w:szCs w:val="18"/>
              </w:rPr>
              <w:t>El colegio se reserva el derecho de cambiar el horario y ampliar clases según las necesidades de los profesores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 </w:t>
            </w:r>
          </w:p>
          <w:p w14:paraId="1D4B2207" w14:textId="77777777" w:rsidR="00284571" w:rsidRPr="00235868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E340A4" w14:textId="77777777" w:rsidR="00284571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5C33C565" w14:textId="77777777" w:rsidR="00746C8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746C8C" w:rsidRPr="00175B81" w14:paraId="334911E6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49288A29" w14:textId="77777777" w:rsidR="00746C8C" w:rsidRPr="00175B81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8A5008" w14:paraId="604D191F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991D" w14:textId="77777777" w:rsidR="00235868" w:rsidRDefault="00235868" w:rsidP="00235868">
            <w:pPr>
              <w:jc w:val="both"/>
              <w:rPr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 xml:space="preserve">COLEGIO DE MEDIADORES DE SEGUROS DE LAS PALMAS es el Responsable del tratamiento de los datos personales del Interesado y le informa de que estos datos se tratarán de conformidad con lo dispuesto en el Reglamento (UE) 2016/679, de 27 de abril (GDPR), y la Ley Orgánica 3/2018, de 5 de diciembre (LOPDGDD), por lo que se le facilita la siguiente información del tratamiento: Fines y legitimación del tratamiento: prestación de servicios de formación y mantenimiento del historial académico (por interés legítimo del responsable, art. 6.1.f GDPR) y envío de comunicaciones de productos o servicios (con el consentimiento del interesado, art. 6.1.a GDPR). Criterios de conservación de los datos: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de limitación u oposición a su tratamiento. - Derecho a presentar una reclamación ante la Autoridad de control (www.aepd.es) si considera que el tratamiento no se ajusta a la normativa vigente. Datos de contacto para ejercer sus derechos: COLEGIO DE MEDIADORES DE SEGUROS DE LAS PALMAS. C/ LEÓN Y CASTILLO, 11 - 35003 LAS PALMAS DE GRAN CANARIA (Las Palmas). Email: colegio.laspalmas@mediadoresdeseguros.com </w:t>
            </w:r>
          </w:p>
          <w:p w14:paraId="361BB720" w14:textId="213A8A05" w:rsidR="00DE2F35" w:rsidRPr="00DE2F35" w:rsidRDefault="00235868" w:rsidP="0023586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 xml:space="preserve">Datos de contacto del delegado de protección de datos: TRIANA 84- 2ºF - protecciondedatos@preblacanarias.com </w:t>
            </w:r>
          </w:p>
        </w:tc>
      </w:tr>
    </w:tbl>
    <w:p w14:paraId="08C99394" w14:textId="77777777" w:rsidR="00896CF4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896CF4" w:rsidRPr="002E21BD" w14:paraId="76D39A04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19D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 de Mediadores de Seguros de Las Palmas</w:t>
            </w:r>
          </w:p>
          <w:p w14:paraId="70E24734" w14:textId="77777777" w:rsidR="00235868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3D2878F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C/ León y Castillo, 11, 4º A</w:t>
            </w:r>
          </w:p>
          <w:p w14:paraId="2EA7418E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Las Palmas de Gran Canaria</w:t>
            </w:r>
          </w:p>
          <w:p w14:paraId="618ABECC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Telf.: 928364564/674849127</w:t>
            </w:r>
          </w:p>
          <w:p w14:paraId="22C68CA0" w14:textId="77777777" w:rsidR="00235868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360D9AE9" w14:textId="77777777" w:rsidR="00235868" w:rsidRPr="008E3062" w:rsidRDefault="00235868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colegio.laspalmas@mediadoresdeseguros.com</w:t>
            </w:r>
          </w:p>
          <w:p w14:paraId="30293EB1" w14:textId="42FCACBE" w:rsidR="00344BF5" w:rsidRPr="002E21BD" w:rsidRDefault="008A04DE" w:rsidP="00235868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hyperlink r:id="rId9" w:history="1">
              <w:r w:rsidR="00235868" w:rsidRPr="008E3062">
                <w:rPr>
                  <w:rStyle w:val="Hipervnculo"/>
                  <w:sz w:val="20"/>
                </w:rPr>
                <w:t>http://mediadoresdeseguroslaspalmas.com/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4BB" w14:textId="7597EA5D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Firma y sello del Colegio de Mediadores de Seguros </w:t>
            </w:r>
            <w:r w:rsid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de Las Palmas</w:t>
            </w:r>
          </w:p>
          <w:p w14:paraId="1BC85DB5" w14:textId="03304D9F" w:rsidR="00896CF4" w:rsidRPr="0049716C" w:rsidRDefault="0049716C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noProof/>
                <w:sz w:val="18"/>
                <w:szCs w:val="18"/>
              </w:rPr>
              <w:drawing>
                <wp:inline distT="0" distB="0" distL="0" distR="0" wp14:anchorId="1AEB8698" wp14:editId="3A55A88F">
                  <wp:extent cx="2251075" cy="7073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F13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El alumno acepta las condiciones expuestas</w:t>
            </w:r>
          </w:p>
          <w:p w14:paraId="02469032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Firma del alumno:</w:t>
            </w:r>
          </w:p>
          <w:p w14:paraId="68167E0B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41EE4876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D5EA6E3" w14:textId="77777777" w:rsidR="00344BF5" w:rsidRPr="0049716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335525E" w14:textId="77777777" w:rsidR="00344BF5" w:rsidRPr="0049716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0FA5BC63" w14:textId="77777777" w:rsidR="00344BF5" w:rsidRPr="0049716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438EC71" w14:textId="77777777" w:rsidR="00896CF4" w:rsidRPr="0049716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896CF4" w:rsidRPr="002E21BD" w14:paraId="5EB0DD0E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C08" w14:textId="77777777" w:rsidR="00344BF5" w:rsidRPr="00344BF5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1D4D3C" w14:textId="77777777" w:rsidR="00896CF4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928C6E4" w14:textId="77777777" w:rsidR="008A5008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C631FB3" w14:textId="77777777"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1C3EE11" w14:textId="77777777"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0490EC6E" w14:textId="77777777" w:rsidR="00722099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Sect="008B1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2024" w14:textId="77777777" w:rsidR="008A04DE" w:rsidRDefault="008A04DE">
      <w:r>
        <w:separator/>
      </w:r>
    </w:p>
  </w:endnote>
  <w:endnote w:type="continuationSeparator" w:id="0">
    <w:p w14:paraId="64100C45" w14:textId="77777777" w:rsidR="008A04DE" w:rsidRDefault="008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555A" w14:textId="77777777" w:rsidR="008753C7" w:rsidRDefault="008753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4790460F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1E4EF2CA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55C4FF55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01843274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32F94B42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04DC96F4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1D97C3F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246A756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4B8E73B2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0C8E36B" w14:textId="77777777" w:rsidR="00DA744E" w:rsidRDefault="00DA74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A57B" w14:textId="77777777" w:rsidR="008753C7" w:rsidRDefault="008753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953A" w14:textId="77777777" w:rsidR="008A04DE" w:rsidRDefault="008A04DE">
      <w:r>
        <w:separator/>
      </w:r>
    </w:p>
  </w:footnote>
  <w:footnote w:type="continuationSeparator" w:id="0">
    <w:p w14:paraId="35C30F59" w14:textId="77777777" w:rsidR="008A04DE" w:rsidRDefault="008A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C97B" w14:textId="77777777" w:rsidR="008753C7" w:rsidRDefault="008753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66AB6131" w14:textId="77777777">
      <w:trPr>
        <w:cantSplit/>
      </w:trPr>
      <w:tc>
        <w:tcPr>
          <w:tcW w:w="10418" w:type="dxa"/>
        </w:tcPr>
        <w:p w14:paraId="67FD9368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60CDEA4" w14:textId="72880B77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</w:t>
          </w:r>
          <w:r w:rsidR="008753C7">
            <w:rPr>
              <w:rFonts w:asciiTheme="minorHAnsi" w:hAnsiTheme="minorHAnsi" w:cstheme="minorHAnsi"/>
              <w:b/>
              <w:iCs/>
            </w:rPr>
            <w:t>On-Line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</w:t>
          </w:r>
          <w:r w:rsidR="00C52610">
            <w:rPr>
              <w:rFonts w:asciiTheme="minorHAnsi" w:hAnsiTheme="minorHAnsi" w:cstheme="minorHAnsi"/>
              <w:b/>
              <w:iCs/>
            </w:rPr>
            <w:t>20</w:t>
          </w:r>
          <w:r w:rsidR="008A5008">
            <w:rPr>
              <w:rFonts w:asciiTheme="minorHAnsi" w:hAnsiTheme="minorHAnsi" w:cstheme="minorHAnsi"/>
              <w:b/>
              <w:iCs/>
            </w:rPr>
            <w:t>-202</w:t>
          </w:r>
          <w:r w:rsidR="00C52610">
            <w:rPr>
              <w:rFonts w:asciiTheme="minorHAnsi" w:hAnsiTheme="minorHAnsi" w:cstheme="minorHAnsi"/>
              <w:b/>
              <w:iCs/>
            </w:rPr>
            <w:t>1</w:t>
          </w:r>
        </w:p>
        <w:p w14:paraId="36C5F5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636BB50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360C2A67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0BC383FE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7BC7E4C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D23EF2" wp14:editId="15C59A3D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F83F" w14:textId="77777777" w:rsidR="008753C7" w:rsidRDefault="00875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C7DB5"/>
    <w:rsid w:val="001C7EBC"/>
    <w:rsid w:val="001E4722"/>
    <w:rsid w:val="001E6EF6"/>
    <w:rsid w:val="001F16AC"/>
    <w:rsid w:val="00227309"/>
    <w:rsid w:val="00235868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177D2"/>
    <w:rsid w:val="0032521D"/>
    <w:rsid w:val="00326CD7"/>
    <w:rsid w:val="0034043C"/>
    <w:rsid w:val="003440BD"/>
    <w:rsid w:val="00344BF5"/>
    <w:rsid w:val="00346B2E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16C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7CCD"/>
    <w:rsid w:val="0058571A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5F05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753C7"/>
    <w:rsid w:val="00890738"/>
    <w:rsid w:val="00896CF4"/>
    <w:rsid w:val="008A04DE"/>
    <w:rsid w:val="008A1020"/>
    <w:rsid w:val="008A5008"/>
    <w:rsid w:val="008A578C"/>
    <w:rsid w:val="008B1D0D"/>
    <w:rsid w:val="008B4869"/>
    <w:rsid w:val="008B782D"/>
    <w:rsid w:val="008D54E1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2338"/>
    <w:rsid w:val="009B6CD9"/>
    <w:rsid w:val="009C3A50"/>
    <w:rsid w:val="009F0B17"/>
    <w:rsid w:val="009F654B"/>
    <w:rsid w:val="00A009FD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67942"/>
    <w:rsid w:val="00C7373A"/>
    <w:rsid w:val="00C85C6F"/>
    <w:rsid w:val="00C93E5C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20FCD"/>
    <w:rsid w:val="00D32ED9"/>
    <w:rsid w:val="00D363C8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A6C6A"/>
    <w:rsid w:val="00FC0A2B"/>
    <w:rsid w:val="00FC311A"/>
    <w:rsid w:val="00FC6C89"/>
    <w:rsid w:val="00FE6B59"/>
    <w:rsid w:val="00FF46B5"/>
    <w:rsid w:val="00FF5ECE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8144C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rsid w:val="00235868"/>
    <w:pPr>
      <w:spacing w:after="120"/>
      <w:jc w:val="both"/>
    </w:pPr>
    <w:rPr>
      <w:rFonts w:ascii="Tahoma" w:hAnsi="Tahoma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5868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diadoresdeseguroslaspalmas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352</TotalTime>
  <Pages>2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 de Mediadores de Seguros de Las Palmas</cp:lastModifiedBy>
  <cp:revision>40</cp:revision>
  <cp:lastPrinted>2019-05-15T10:28:00Z</cp:lastPrinted>
  <dcterms:created xsi:type="dcterms:W3CDTF">2019-05-14T10:57:00Z</dcterms:created>
  <dcterms:modified xsi:type="dcterms:W3CDTF">2020-10-01T11:49:00Z</dcterms:modified>
</cp:coreProperties>
</file>